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7D46" w14:textId="77777777" w:rsidR="00353AA1" w:rsidRPr="00EF2FCC" w:rsidRDefault="00353AA1" w:rsidP="00353AA1">
      <w:pPr>
        <w:rPr>
          <w:b/>
          <w:bCs/>
        </w:rPr>
      </w:pPr>
      <w:r w:rsidRPr="00EF2FCC">
        <w:rPr>
          <w:b/>
          <w:bCs/>
        </w:rPr>
        <w:t>Workforce Healthcare Comparison</w:t>
      </w:r>
    </w:p>
    <w:p w14:paraId="0A3C77B6" w14:textId="77777777" w:rsidR="00EF2FCC" w:rsidRPr="00EF2FCC" w:rsidRDefault="00EF2FCC" w:rsidP="00EF2FCC">
      <w:r w:rsidRPr="00EF2FCC">
        <w:t>Healthcare benefits come in many forms, each designed to address different employee and employer needs. The comparison below highlights several common approaches to help leadership teams better understand how they differ.</w:t>
      </w:r>
    </w:p>
    <w:p w14:paraId="5F43CDC2" w14:textId="77777777" w:rsidR="00EF2FCC" w:rsidRPr="00EF2FCC" w:rsidRDefault="00EF2FCC" w:rsidP="00EF2FCC">
      <w:pPr>
        <w:rPr>
          <w:b/>
          <w:bCs/>
        </w:rPr>
      </w:pPr>
      <w:r w:rsidRPr="00EF2FCC">
        <w:rPr>
          <w:b/>
          <w:bCs/>
        </w:rPr>
        <w:t>Employee Experience</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510"/>
        <w:gridCol w:w="1440"/>
        <w:gridCol w:w="1170"/>
        <w:gridCol w:w="1710"/>
        <w:gridCol w:w="1530"/>
      </w:tblGrid>
      <w:tr w:rsidR="00EF2FCC" w:rsidRPr="00EF2FCC" w14:paraId="3348E62D" w14:textId="77777777" w:rsidTr="00353AA1">
        <w:trPr>
          <w:tblHeader/>
          <w:tblCellSpacing w:w="15" w:type="dxa"/>
        </w:trPr>
        <w:tc>
          <w:tcPr>
            <w:tcW w:w="3465" w:type="dxa"/>
            <w:vAlign w:val="center"/>
            <w:hideMark/>
          </w:tcPr>
          <w:p w14:paraId="4739756D" w14:textId="77777777" w:rsidR="00EF2FCC" w:rsidRPr="00EF2FCC" w:rsidRDefault="00EF2FCC" w:rsidP="00EF2FCC">
            <w:pPr>
              <w:rPr>
                <w:b/>
                <w:bCs/>
              </w:rPr>
            </w:pPr>
            <w:r w:rsidRPr="00EF2FCC">
              <w:rPr>
                <w:b/>
                <w:bCs/>
              </w:rPr>
              <w:t>Employees who need help with...</w:t>
            </w:r>
          </w:p>
        </w:tc>
        <w:tc>
          <w:tcPr>
            <w:tcW w:w="1410" w:type="dxa"/>
            <w:vAlign w:val="center"/>
            <w:hideMark/>
          </w:tcPr>
          <w:p w14:paraId="025AAA4C" w14:textId="77777777" w:rsidR="00EF2FCC" w:rsidRPr="00EF2FCC" w:rsidRDefault="00EF2FCC" w:rsidP="00EF2FCC">
            <w:pPr>
              <w:rPr>
                <w:b/>
                <w:bCs/>
              </w:rPr>
            </w:pPr>
            <w:r w:rsidRPr="00EF2FCC">
              <w:rPr>
                <w:b/>
                <w:bCs/>
              </w:rPr>
              <w:t>Traditional Telehealth</w:t>
            </w:r>
          </w:p>
        </w:tc>
        <w:tc>
          <w:tcPr>
            <w:tcW w:w="1140" w:type="dxa"/>
            <w:vAlign w:val="center"/>
            <w:hideMark/>
          </w:tcPr>
          <w:p w14:paraId="6B43D4F6" w14:textId="77777777" w:rsidR="00EF2FCC" w:rsidRPr="00EF2FCC" w:rsidRDefault="00EF2FCC" w:rsidP="00EF2FCC">
            <w:pPr>
              <w:rPr>
                <w:b/>
                <w:bCs/>
              </w:rPr>
            </w:pPr>
            <w:r w:rsidRPr="00EF2FCC">
              <w:rPr>
                <w:b/>
                <w:bCs/>
              </w:rPr>
              <w:t>Healthcare Access Platform</w:t>
            </w:r>
          </w:p>
        </w:tc>
        <w:tc>
          <w:tcPr>
            <w:tcW w:w="1680" w:type="dxa"/>
            <w:vAlign w:val="center"/>
            <w:hideMark/>
          </w:tcPr>
          <w:p w14:paraId="244DD9C8" w14:textId="77777777" w:rsidR="00EF2FCC" w:rsidRPr="00EF2FCC" w:rsidRDefault="00EF2FCC" w:rsidP="00EF2FCC">
            <w:pPr>
              <w:rPr>
                <w:b/>
                <w:bCs/>
              </w:rPr>
            </w:pPr>
            <w:r w:rsidRPr="00EF2FCC">
              <w:rPr>
                <w:b/>
                <w:bCs/>
              </w:rPr>
              <w:t>Employee Assistance Program (EAP)</w:t>
            </w:r>
          </w:p>
        </w:tc>
        <w:tc>
          <w:tcPr>
            <w:tcW w:w="1485" w:type="dxa"/>
            <w:vAlign w:val="center"/>
            <w:hideMark/>
          </w:tcPr>
          <w:p w14:paraId="59A8942A" w14:textId="77777777" w:rsidR="00EF2FCC" w:rsidRPr="00EF2FCC" w:rsidRDefault="00EF2FCC" w:rsidP="00EF2FCC">
            <w:pPr>
              <w:rPr>
                <w:b/>
                <w:bCs/>
              </w:rPr>
            </w:pPr>
            <w:proofErr w:type="spellStart"/>
            <w:r w:rsidRPr="00EF2FCC">
              <w:rPr>
                <w:b/>
                <w:bCs/>
              </w:rPr>
              <w:t>Ful.CashPay</w:t>
            </w:r>
            <w:proofErr w:type="spellEnd"/>
          </w:p>
        </w:tc>
      </w:tr>
      <w:tr w:rsidR="00EF2FCC" w:rsidRPr="00EF2FCC" w14:paraId="3129D5AA" w14:textId="77777777" w:rsidTr="00353AA1">
        <w:trPr>
          <w:tblCellSpacing w:w="15" w:type="dxa"/>
        </w:trPr>
        <w:tc>
          <w:tcPr>
            <w:tcW w:w="3465" w:type="dxa"/>
            <w:vAlign w:val="center"/>
            <w:hideMark/>
          </w:tcPr>
          <w:p w14:paraId="0EB31ACD" w14:textId="77777777" w:rsidR="00EF2FCC" w:rsidRPr="00EF2FCC" w:rsidRDefault="00EF2FCC" w:rsidP="00EF2FCC">
            <w:r w:rsidRPr="00EF2FCC">
              <w:t>Seeing a physician 24 hours a day, 7 days a week</w:t>
            </w:r>
          </w:p>
        </w:tc>
        <w:tc>
          <w:tcPr>
            <w:tcW w:w="1410" w:type="dxa"/>
            <w:vAlign w:val="center"/>
            <w:hideMark/>
          </w:tcPr>
          <w:p w14:paraId="0817E4C5" w14:textId="77777777" w:rsidR="00EF2FCC" w:rsidRPr="00EF2FCC" w:rsidRDefault="00EF2FCC" w:rsidP="00EF2FCC">
            <w:r w:rsidRPr="00EF2FCC">
              <w:t>Varies</w:t>
            </w:r>
          </w:p>
        </w:tc>
        <w:tc>
          <w:tcPr>
            <w:tcW w:w="1140" w:type="dxa"/>
            <w:vAlign w:val="center"/>
            <w:hideMark/>
          </w:tcPr>
          <w:p w14:paraId="17B0192F"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59C2DBB7"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2373EBCD" w14:textId="77777777" w:rsidR="00EF2FCC" w:rsidRPr="00EF2FCC" w:rsidRDefault="00EF2FCC" w:rsidP="00EF2FCC">
            <w:r w:rsidRPr="00EF2FCC">
              <w:rPr>
                <w:rFonts w:ascii="Segoe UI Symbol" w:hAnsi="Segoe UI Symbol" w:cs="Segoe UI Symbol"/>
              </w:rPr>
              <w:t>✓</w:t>
            </w:r>
          </w:p>
        </w:tc>
      </w:tr>
      <w:tr w:rsidR="00EF2FCC" w:rsidRPr="00EF2FCC" w14:paraId="42A95FCE" w14:textId="77777777" w:rsidTr="00353AA1">
        <w:trPr>
          <w:tblCellSpacing w:w="15" w:type="dxa"/>
        </w:trPr>
        <w:tc>
          <w:tcPr>
            <w:tcW w:w="3465" w:type="dxa"/>
            <w:vAlign w:val="center"/>
            <w:hideMark/>
          </w:tcPr>
          <w:p w14:paraId="2CF6AB75" w14:textId="77777777" w:rsidR="00EF2FCC" w:rsidRPr="00EF2FCC" w:rsidRDefault="00EF2FCC" w:rsidP="00EF2FCC">
            <w:r w:rsidRPr="00EF2FCC">
              <w:t>Connecting with a physician in under 60 seconds</w:t>
            </w:r>
          </w:p>
        </w:tc>
        <w:tc>
          <w:tcPr>
            <w:tcW w:w="1410" w:type="dxa"/>
            <w:vAlign w:val="center"/>
            <w:hideMark/>
          </w:tcPr>
          <w:p w14:paraId="0E1C7309" w14:textId="77777777" w:rsidR="00EF2FCC" w:rsidRPr="00EF2FCC" w:rsidRDefault="00EF2FCC" w:rsidP="00EF2FCC">
            <w:r w:rsidRPr="00EF2FCC">
              <w:t>Varies</w:t>
            </w:r>
          </w:p>
        </w:tc>
        <w:tc>
          <w:tcPr>
            <w:tcW w:w="1140" w:type="dxa"/>
            <w:vAlign w:val="center"/>
            <w:hideMark/>
          </w:tcPr>
          <w:p w14:paraId="7475D757"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67D311D9"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2760ABBE" w14:textId="77777777" w:rsidR="00EF2FCC" w:rsidRPr="00EF2FCC" w:rsidRDefault="00EF2FCC" w:rsidP="00EF2FCC">
            <w:r w:rsidRPr="00EF2FCC">
              <w:rPr>
                <w:rFonts w:ascii="Segoe UI Symbol" w:hAnsi="Segoe UI Symbol" w:cs="Segoe UI Symbol"/>
              </w:rPr>
              <w:t>✓</w:t>
            </w:r>
          </w:p>
        </w:tc>
      </w:tr>
      <w:tr w:rsidR="00EF2FCC" w:rsidRPr="00EF2FCC" w14:paraId="402AD19B" w14:textId="77777777" w:rsidTr="00353AA1">
        <w:trPr>
          <w:tblCellSpacing w:w="15" w:type="dxa"/>
        </w:trPr>
        <w:tc>
          <w:tcPr>
            <w:tcW w:w="3465" w:type="dxa"/>
            <w:vAlign w:val="center"/>
            <w:hideMark/>
          </w:tcPr>
          <w:p w14:paraId="76CD3C1F" w14:textId="77777777" w:rsidR="00EF2FCC" w:rsidRPr="00EF2FCC" w:rsidRDefault="00EF2FCC" w:rsidP="00EF2FCC">
            <w:r w:rsidRPr="00EF2FCC">
              <w:t>Receiving unlimited $0 virtual physician visits</w:t>
            </w:r>
          </w:p>
        </w:tc>
        <w:tc>
          <w:tcPr>
            <w:tcW w:w="1410" w:type="dxa"/>
            <w:vAlign w:val="center"/>
            <w:hideMark/>
          </w:tcPr>
          <w:p w14:paraId="3A886CBF" w14:textId="77777777" w:rsidR="00EF2FCC" w:rsidRPr="00EF2FCC" w:rsidRDefault="00EF2FCC" w:rsidP="00EF2FCC">
            <w:r w:rsidRPr="00EF2FCC">
              <w:t>Plan dependent</w:t>
            </w:r>
          </w:p>
        </w:tc>
        <w:tc>
          <w:tcPr>
            <w:tcW w:w="1140" w:type="dxa"/>
            <w:vAlign w:val="center"/>
            <w:hideMark/>
          </w:tcPr>
          <w:p w14:paraId="1EC09C0D"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5E2F6F32"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5CC9AE26" w14:textId="77777777" w:rsidR="00EF2FCC" w:rsidRPr="00EF2FCC" w:rsidRDefault="00EF2FCC" w:rsidP="00EF2FCC">
            <w:r w:rsidRPr="00EF2FCC">
              <w:rPr>
                <w:rFonts w:ascii="Segoe UI Symbol" w:hAnsi="Segoe UI Symbol" w:cs="Segoe UI Symbol"/>
              </w:rPr>
              <w:t>✓</w:t>
            </w:r>
          </w:p>
        </w:tc>
      </w:tr>
      <w:tr w:rsidR="00EF2FCC" w:rsidRPr="00EF2FCC" w14:paraId="2C52E242" w14:textId="77777777" w:rsidTr="00353AA1">
        <w:trPr>
          <w:tblCellSpacing w:w="15" w:type="dxa"/>
        </w:trPr>
        <w:tc>
          <w:tcPr>
            <w:tcW w:w="3465" w:type="dxa"/>
            <w:vAlign w:val="center"/>
            <w:hideMark/>
          </w:tcPr>
          <w:p w14:paraId="45B7ED11" w14:textId="77777777" w:rsidR="00EF2FCC" w:rsidRPr="00EF2FCC" w:rsidRDefault="00EF2FCC" w:rsidP="00EF2FCC">
            <w:r w:rsidRPr="00EF2FCC">
              <w:t>Acute medical care</w:t>
            </w:r>
          </w:p>
        </w:tc>
        <w:tc>
          <w:tcPr>
            <w:tcW w:w="1410" w:type="dxa"/>
            <w:vAlign w:val="center"/>
            <w:hideMark/>
          </w:tcPr>
          <w:p w14:paraId="3C0E8323" w14:textId="77777777" w:rsidR="00EF2FCC" w:rsidRPr="00EF2FCC" w:rsidRDefault="00EF2FCC" w:rsidP="00EF2FCC">
            <w:r w:rsidRPr="00EF2FCC">
              <w:rPr>
                <w:rFonts w:ascii="Segoe UI Symbol" w:hAnsi="Segoe UI Symbol" w:cs="Segoe UI Symbol"/>
              </w:rPr>
              <w:t>✓</w:t>
            </w:r>
          </w:p>
        </w:tc>
        <w:tc>
          <w:tcPr>
            <w:tcW w:w="1140" w:type="dxa"/>
            <w:vAlign w:val="center"/>
            <w:hideMark/>
          </w:tcPr>
          <w:p w14:paraId="13C9A704"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3A18FB00"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6B6211D4" w14:textId="77777777" w:rsidR="00EF2FCC" w:rsidRPr="00EF2FCC" w:rsidRDefault="00EF2FCC" w:rsidP="00EF2FCC">
            <w:r w:rsidRPr="00EF2FCC">
              <w:rPr>
                <w:rFonts w:ascii="Segoe UI Symbol" w:hAnsi="Segoe UI Symbol" w:cs="Segoe UI Symbol"/>
              </w:rPr>
              <w:t>✓</w:t>
            </w:r>
          </w:p>
        </w:tc>
      </w:tr>
      <w:tr w:rsidR="00EF2FCC" w:rsidRPr="00EF2FCC" w14:paraId="42CBD110" w14:textId="77777777" w:rsidTr="00353AA1">
        <w:trPr>
          <w:tblCellSpacing w:w="15" w:type="dxa"/>
        </w:trPr>
        <w:tc>
          <w:tcPr>
            <w:tcW w:w="3465" w:type="dxa"/>
            <w:vAlign w:val="center"/>
            <w:hideMark/>
          </w:tcPr>
          <w:p w14:paraId="02BEDBB7" w14:textId="77777777" w:rsidR="00EF2FCC" w:rsidRPr="00EF2FCC" w:rsidRDefault="00EF2FCC" w:rsidP="00EF2FCC">
            <w:r w:rsidRPr="00EF2FCC">
              <w:t>Ongoing primary care</w:t>
            </w:r>
          </w:p>
        </w:tc>
        <w:tc>
          <w:tcPr>
            <w:tcW w:w="1410" w:type="dxa"/>
            <w:vAlign w:val="center"/>
            <w:hideMark/>
          </w:tcPr>
          <w:p w14:paraId="6EFFB7DF" w14:textId="77777777" w:rsidR="00EF2FCC" w:rsidRPr="00EF2FCC" w:rsidRDefault="00EF2FCC" w:rsidP="00EF2FCC">
            <w:r w:rsidRPr="00EF2FCC">
              <w:t>Sometimes</w:t>
            </w:r>
          </w:p>
        </w:tc>
        <w:tc>
          <w:tcPr>
            <w:tcW w:w="1140" w:type="dxa"/>
            <w:vAlign w:val="center"/>
            <w:hideMark/>
          </w:tcPr>
          <w:p w14:paraId="633DCF49"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55461C3A"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7DB5CECF" w14:textId="77777777" w:rsidR="00EF2FCC" w:rsidRPr="00EF2FCC" w:rsidRDefault="00EF2FCC" w:rsidP="00EF2FCC">
            <w:r w:rsidRPr="00EF2FCC">
              <w:rPr>
                <w:rFonts w:ascii="Segoe UI Symbol" w:hAnsi="Segoe UI Symbol" w:cs="Segoe UI Symbol"/>
              </w:rPr>
              <w:t>✓</w:t>
            </w:r>
          </w:p>
        </w:tc>
      </w:tr>
      <w:tr w:rsidR="00EF2FCC" w:rsidRPr="00EF2FCC" w14:paraId="53B8D2E5" w14:textId="77777777" w:rsidTr="00353AA1">
        <w:trPr>
          <w:tblCellSpacing w:w="15" w:type="dxa"/>
        </w:trPr>
        <w:tc>
          <w:tcPr>
            <w:tcW w:w="3465" w:type="dxa"/>
            <w:vAlign w:val="center"/>
            <w:hideMark/>
          </w:tcPr>
          <w:p w14:paraId="20202204" w14:textId="77777777" w:rsidR="00EF2FCC" w:rsidRPr="00EF2FCC" w:rsidRDefault="00EF2FCC" w:rsidP="00EF2FCC">
            <w:r w:rsidRPr="00EF2FCC">
              <w:t>Mental health evaluation &amp; medication management</w:t>
            </w:r>
          </w:p>
        </w:tc>
        <w:tc>
          <w:tcPr>
            <w:tcW w:w="1410" w:type="dxa"/>
            <w:vAlign w:val="center"/>
            <w:hideMark/>
          </w:tcPr>
          <w:p w14:paraId="0BC5A6B5" w14:textId="77777777" w:rsidR="00EF2FCC" w:rsidRPr="00EF2FCC" w:rsidRDefault="00EF2FCC" w:rsidP="00EF2FCC">
            <w:r w:rsidRPr="00EF2FCC">
              <w:t>Sometimes</w:t>
            </w:r>
          </w:p>
        </w:tc>
        <w:tc>
          <w:tcPr>
            <w:tcW w:w="1140" w:type="dxa"/>
            <w:vAlign w:val="center"/>
            <w:hideMark/>
          </w:tcPr>
          <w:p w14:paraId="38992A86"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67011611" w14:textId="77777777" w:rsidR="00EF2FCC" w:rsidRPr="00EF2FCC" w:rsidRDefault="00EF2FCC" w:rsidP="00EF2FCC">
            <w:r w:rsidRPr="00EF2FCC">
              <w:t>Counseling &amp; referrals</w:t>
            </w:r>
          </w:p>
        </w:tc>
        <w:tc>
          <w:tcPr>
            <w:tcW w:w="1485" w:type="dxa"/>
            <w:vAlign w:val="center"/>
            <w:hideMark/>
          </w:tcPr>
          <w:p w14:paraId="2FB87DA4" w14:textId="77777777" w:rsidR="00EF2FCC" w:rsidRPr="00EF2FCC" w:rsidRDefault="00EF2FCC" w:rsidP="00EF2FCC">
            <w:r w:rsidRPr="00EF2FCC">
              <w:rPr>
                <w:rFonts w:ascii="Segoe UI Symbol" w:hAnsi="Segoe UI Symbol" w:cs="Segoe UI Symbol"/>
              </w:rPr>
              <w:t>✓</w:t>
            </w:r>
          </w:p>
        </w:tc>
      </w:tr>
      <w:tr w:rsidR="00EF2FCC" w:rsidRPr="00EF2FCC" w14:paraId="1E7741D8" w14:textId="77777777" w:rsidTr="00353AA1">
        <w:trPr>
          <w:tblCellSpacing w:w="15" w:type="dxa"/>
        </w:trPr>
        <w:tc>
          <w:tcPr>
            <w:tcW w:w="3465" w:type="dxa"/>
            <w:vAlign w:val="center"/>
            <w:hideMark/>
          </w:tcPr>
          <w:p w14:paraId="747F7E9E" w14:textId="77777777" w:rsidR="00EF2FCC" w:rsidRPr="00EF2FCC" w:rsidRDefault="00EF2FCC" w:rsidP="00EF2FCC">
            <w:r w:rsidRPr="00EF2FCC">
              <w:t>Specialty care, including dermatology</w:t>
            </w:r>
          </w:p>
        </w:tc>
        <w:tc>
          <w:tcPr>
            <w:tcW w:w="1410" w:type="dxa"/>
            <w:vAlign w:val="center"/>
            <w:hideMark/>
          </w:tcPr>
          <w:p w14:paraId="5A297506" w14:textId="77777777" w:rsidR="00EF2FCC" w:rsidRPr="00EF2FCC" w:rsidRDefault="00EF2FCC" w:rsidP="00EF2FCC">
            <w:r w:rsidRPr="00EF2FCC">
              <w:t>Sometimes</w:t>
            </w:r>
          </w:p>
        </w:tc>
        <w:tc>
          <w:tcPr>
            <w:tcW w:w="1140" w:type="dxa"/>
            <w:vAlign w:val="center"/>
            <w:hideMark/>
          </w:tcPr>
          <w:p w14:paraId="037B4A50"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2BDE9E74"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1671953F" w14:textId="77777777" w:rsidR="00EF2FCC" w:rsidRPr="00EF2FCC" w:rsidRDefault="00EF2FCC" w:rsidP="00EF2FCC">
            <w:r w:rsidRPr="00EF2FCC">
              <w:rPr>
                <w:rFonts w:ascii="Segoe UI Symbol" w:hAnsi="Segoe UI Symbol" w:cs="Segoe UI Symbol"/>
              </w:rPr>
              <w:t>✓</w:t>
            </w:r>
          </w:p>
        </w:tc>
      </w:tr>
      <w:tr w:rsidR="00EF2FCC" w:rsidRPr="00EF2FCC" w14:paraId="1A561712" w14:textId="77777777" w:rsidTr="00353AA1">
        <w:trPr>
          <w:tblCellSpacing w:w="15" w:type="dxa"/>
        </w:trPr>
        <w:tc>
          <w:tcPr>
            <w:tcW w:w="3465" w:type="dxa"/>
            <w:vAlign w:val="center"/>
            <w:hideMark/>
          </w:tcPr>
          <w:p w14:paraId="6025B889" w14:textId="77777777" w:rsidR="00EF2FCC" w:rsidRPr="00EF2FCC" w:rsidRDefault="00EF2FCC" w:rsidP="00EF2FCC">
            <w:r w:rsidRPr="00EF2FCC">
              <w:t>Women's, men's &amp; pediatric care</w:t>
            </w:r>
          </w:p>
        </w:tc>
        <w:tc>
          <w:tcPr>
            <w:tcW w:w="1410" w:type="dxa"/>
            <w:vAlign w:val="center"/>
            <w:hideMark/>
          </w:tcPr>
          <w:p w14:paraId="22253B09" w14:textId="77777777" w:rsidR="00EF2FCC" w:rsidRPr="00EF2FCC" w:rsidRDefault="00EF2FCC" w:rsidP="00EF2FCC">
            <w:r w:rsidRPr="00EF2FCC">
              <w:t>Sometimes</w:t>
            </w:r>
          </w:p>
        </w:tc>
        <w:tc>
          <w:tcPr>
            <w:tcW w:w="1140" w:type="dxa"/>
            <w:vAlign w:val="center"/>
            <w:hideMark/>
          </w:tcPr>
          <w:p w14:paraId="095684E4"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5734D048"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20272F80" w14:textId="77777777" w:rsidR="00EF2FCC" w:rsidRPr="00EF2FCC" w:rsidRDefault="00EF2FCC" w:rsidP="00EF2FCC">
            <w:r w:rsidRPr="00EF2FCC">
              <w:rPr>
                <w:rFonts w:ascii="Segoe UI Symbol" w:hAnsi="Segoe UI Symbol" w:cs="Segoe UI Symbol"/>
              </w:rPr>
              <w:t>✓</w:t>
            </w:r>
          </w:p>
        </w:tc>
      </w:tr>
      <w:tr w:rsidR="00EF2FCC" w:rsidRPr="00EF2FCC" w14:paraId="550C5AAE" w14:textId="77777777" w:rsidTr="00353AA1">
        <w:trPr>
          <w:tblCellSpacing w:w="15" w:type="dxa"/>
        </w:trPr>
        <w:tc>
          <w:tcPr>
            <w:tcW w:w="3465" w:type="dxa"/>
            <w:vAlign w:val="center"/>
            <w:hideMark/>
          </w:tcPr>
          <w:p w14:paraId="73BFD1A5" w14:textId="77777777" w:rsidR="00EF2FCC" w:rsidRPr="00EF2FCC" w:rsidRDefault="00EF2FCC" w:rsidP="00EF2FCC">
            <w:r w:rsidRPr="00EF2FCC">
              <w:t>Saving money on prescriptions</w:t>
            </w:r>
          </w:p>
        </w:tc>
        <w:tc>
          <w:tcPr>
            <w:tcW w:w="1410" w:type="dxa"/>
            <w:vAlign w:val="center"/>
            <w:hideMark/>
          </w:tcPr>
          <w:p w14:paraId="20DAAB6B" w14:textId="77777777" w:rsidR="00EF2FCC" w:rsidRPr="00EF2FCC" w:rsidRDefault="00EF2FCC" w:rsidP="00EF2FCC">
            <w:r w:rsidRPr="00EF2FCC">
              <w:t>Sometimes</w:t>
            </w:r>
          </w:p>
        </w:tc>
        <w:tc>
          <w:tcPr>
            <w:tcW w:w="1140" w:type="dxa"/>
            <w:vAlign w:val="center"/>
            <w:hideMark/>
          </w:tcPr>
          <w:p w14:paraId="7FEEE0BD" w14:textId="77777777" w:rsidR="00EF2FCC" w:rsidRPr="00EF2FCC" w:rsidRDefault="00EF2FCC" w:rsidP="00EF2FCC">
            <w:r w:rsidRPr="00EF2FCC">
              <w:rPr>
                <w:rFonts w:ascii="Segoe UI Symbol" w:hAnsi="Segoe UI Symbol" w:cs="Segoe UI Symbol"/>
              </w:rPr>
              <w:t>✓</w:t>
            </w:r>
          </w:p>
        </w:tc>
        <w:tc>
          <w:tcPr>
            <w:tcW w:w="1680" w:type="dxa"/>
            <w:vAlign w:val="center"/>
            <w:hideMark/>
          </w:tcPr>
          <w:p w14:paraId="0A30ADB2"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08844309" w14:textId="77777777" w:rsidR="00EF2FCC" w:rsidRPr="00EF2FCC" w:rsidRDefault="00EF2FCC" w:rsidP="00EF2FCC">
            <w:r w:rsidRPr="00EF2FCC">
              <w:rPr>
                <w:rFonts w:ascii="Segoe UI Symbol" w:hAnsi="Segoe UI Symbol" w:cs="Segoe UI Symbol"/>
              </w:rPr>
              <w:t>✓</w:t>
            </w:r>
          </w:p>
        </w:tc>
      </w:tr>
      <w:tr w:rsidR="00EF2FCC" w:rsidRPr="00EF2FCC" w14:paraId="64802335" w14:textId="77777777" w:rsidTr="00353AA1">
        <w:trPr>
          <w:tblCellSpacing w:w="15" w:type="dxa"/>
        </w:trPr>
        <w:tc>
          <w:tcPr>
            <w:tcW w:w="3465" w:type="dxa"/>
            <w:vAlign w:val="center"/>
            <w:hideMark/>
          </w:tcPr>
          <w:p w14:paraId="55FF97B5" w14:textId="1BC527EB" w:rsidR="00EF2FCC" w:rsidRPr="00EF2FCC" w:rsidRDefault="00EF2FCC" w:rsidP="00EF2FCC">
            <w:r w:rsidRPr="00EF2FCC">
              <w:t>Reducing hospital bills</w:t>
            </w:r>
            <w:r w:rsidR="00353AA1">
              <w:t xml:space="preserve"> by up to 100%</w:t>
            </w:r>
          </w:p>
        </w:tc>
        <w:tc>
          <w:tcPr>
            <w:tcW w:w="1410" w:type="dxa"/>
            <w:vAlign w:val="center"/>
            <w:hideMark/>
          </w:tcPr>
          <w:p w14:paraId="496BD411" w14:textId="77777777" w:rsidR="00EF2FCC" w:rsidRPr="00EF2FCC" w:rsidRDefault="00EF2FCC" w:rsidP="00EF2FCC">
            <w:r w:rsidRPr="00EF2FCC">
              <w:rPr>
                <w:rFonts w:ascii="Segoe UI Symbol" w:hAnsi="Segoe UI Symbol" w:cs="Segoe UI Symbol"/>
              </w:rPr>
              <w:t>✕</w:t>
            </w:r>
          </w:p>
        </w:tc>
        <w:tc>
          <w:tcPr>
            <w:tcW w:w="1140" w:type="dxa"/>
            <w:vAlign w:val="center"/>
            <w:hideMark/>
          </w:tcPr>
          <w:p w14:paraId="48B37DCC" w14:textId="77777777" w:rsidR="00EF2FCC" w:rsidRPr="00EF2FCC" w:rsidRDefault="00EF2FCC" w:rsidP="00EF2FCC">
            <w:r w:rsidRPr="00EF2FCC">
              <w:t>Limited</w:t>
            </w:r>
          </w:p>
        </w:tc>
        <w:tc>
          <w:tcPr>
            <w:tcW w:w="1680" w:type="dxa"/>
            <w:vAlign w:val="center"/>
            <w:hideMark/>
          </w:tcPr>
          <w:p w14:paraId="28EDCAFC"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4590F126" w14:textId="77777777" w:rsidR="00EF2FCC" w:rsidRPr="00EF2FCC" w:rsidRDefault="00EF2FCC" w:rsidP="00EF2FCC">
            <w:r w:rsidRPr="00EF2FCC">
              <w:rPr>
                <w:rFonts w:ascii="Segoe UI Symbol" w:hAnsi="Segoe UI Symbol" w:cs="Segoe UI Symbol"/>
              </w:rPr>
              <w:t>✓</w:t>
            </w:r>
          </w:p>
        </w:tc>
      </w:tr>
      <w:tr w:rsidR="00EF2FCC" w:rsidRPr="00EF2FCC" w14:paraId="24825624" w14:textId="77777777" w:rsidTr="00353AA1">
        <w:trPr>
          <w:tblCellSpacing w:w="15" w:type="dxa"/>
        </w:trPr>
        <w:tc>
          <w:tcPr>
            <w:tcW w:w="3465" w:type="dxa"/>
            <w:vAlign w:val="center"/>
            <w:hideMark/>
          </w:tcPr>
          <w:p w14:paraId="22D39161" w14:textId="77777777" w:rsidR="00EF2FCC" w:rsidRPr="00EF2FCC" w:rsidRDefault="00EF2FCC" w:rsidP="00EF2FCC">
            <w:r w:rsidRPr="00EF2FCC">
              <w:t>Getting expert help with Medicare, Medicaid &amp; CHIP eligibility and enrollment</w:t>
            </w:r>
          </w:p>
        </w:tc>
        <w:tc>
          <w:tcPr>
            <w:tcW w:w="1410" w:type="dxa"/>
            <w:vAlign w:val="center"/>
            <w:hideMark/>
          </w:tcPr>
          <w:p w14:paraId="297D0A03" w14:textId="77777777" w:rsidR="00EF2FCC" w:rsidRPr="00EF2FCC" w:rsidRDefault="00EF2FCC" w:rsidP="00EF2FCC">
            <w:r w:rsidRPr="00EF2FCC">
              <w:rPr>
                <w:rFonts w:ascii="Segoe UI Symbol" w:hAnsi="Segoe UI Symbol" w:cs="Segoe UI Symbol"/>
              </w:rPr>
              <w:t>✕</w:t>
            </w:r>
          </w:p>
        </w:tc>
        <w:tc>
          <w:tcPr>
            <w:tcW w:w="1140" w:type="dxa"/>
            <w:vAlign w:val="center"/>
            <w:hideMark/>
          </w:tcPr>
          <w:p w14:paraId="3CF5CB6A" w14:textId="77777777" w:rsidR="00EF2FCC" w:rsidRPr="00EF2FCC" w:rsidRDefault="00EF2FCC" w:rsidP="00EF2FCC">
            <w:r w:rsidRPr="00EF2FCC">
              <w:t>Limited</w:t>
            </w:r>
          </w:p>
        </w:tc>
        <w:tc>
          <w:tcPr>
            <w:tcW w:w="1680" w:type="dxa"/>
            <w:vAlign w:val="center"/>
            <w:hideMark/>
          </w:tcPr>
          <w:p w14:paraId="3C896F6F"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7F84CB90" w14:textId="77777777" w:rsidR="00EF2FCC" w:rsidRPr="00EF2FCC" w:rsidRDefault="00EF2FCC" w:rsidP="00EF2FCC">
            <w:r w:rsidRPr="00EF2FCC">
              <w:rPr>
                <w:rFonts w:ascii="Segoe UI Symbol" w:hAnsi="Segoe UI Symbol" w:cs="Segoe UI Symbol"/>
              </w:rPr>
              <w:t>✓</w:t>
            </w:r>
          </w:p>
        </w:tc>
      </w:tr>
      <w:tr w:rsidR="00EF2FCC" w:rsidRPr="00EF2FCC" w14:paraId="189F3B5C" w14:textId="77777777" w:rsidTr="00353AA1">
        <w:trPr>
          <w:tblCellSpacing w:w="15" w:type="dxa"/>
        </w:trPr>
        <w:tc>
          <w:tcPr>
            <w:tcW w:w="3465" w:type="dxa"/>
            <w:vAlign w:val="center"/>
            <w:hideMark/>
          </w:tcPr>
          <w:p w14:paraId="372F5C40" w14:textId="77777777" w:rsidR="00EF2FCC" w:rsidRPr="00EF2FCC" w:rsidRDefault="00EF2FCC" w:rsidP="00EF2FCC">
            <w:r w:rsidRPr="00EF2FCC">
              <w:t>Learning how to make informed healthcare decisions</w:t>
            </w:r>
          </w:p>
        </w:tc>
        <w:tc>
          <w:tcPr>
            <w:tcW w:w="1410" w:type="dxa"/>
            <w:vAlign w:val="center"/>
            <w:hideMark/>
          </w:tcPr>
          <w:p w14:paraId="2EF2CD6E" w14:textId="77777777" w:rsidR="00EF2FCC" w:rsidRPr="00EF2FCC" w:rsidRDefault="00EF2FCC" w:rsidP="00EF2FCC">
            <w:r w:rsidRPr="00EF2FCC">
              <w:rPr>
                <w:rFonts w:ascii="Segoe UI Symbol" w:hAnsi="Segoe UI Symbol" w:cs="Segoe UI Symbol"/>
              </w:rPr>
              <w:t>✕</w:t>
            </w:r>
          </w:p>
        </w:tc>
        <w:tc>
          <w:tcPr>
            <w:tcW w:w="1140" w:type="dxa"/>
            <w:vAlign w:val="center"/>
            <w:hideMark/>
          </w:tcPr>
          <w:p w14:paraId="33BFC80F" w14:textId="77777777" w:rsidR="00EF2FCC" w:rsidRPr="00EF2FCC" w:rsidRDefault="00EF2FCC" w:rsidP="00EF2FCC">
            <w:r w:rsidRPr="00EF2FCC">
              <w:t>Limited</w:t>
            </w:r>
          </w:p>
        </w:tc>
        <w:tc>
          <w:tcPr>
            <w:tcW w:w="1680" w:type="dxa"/>
            <w:vAlign w:val="center"/>
            <w:hideMark/>
          </w:tcPr>
          <w:p w14:paraId="5F6AABC8" w14:textId="77777777" w:rsidR="00EF2FCC" w:rsidRPr="00EF2FCC" w:rsidRDefault="00EF2FCC" w:rsidP="00EF2FCC">
            <w:r w:rsidRPr="00EF2FCC">
              <w:rPr>
                <w:rFonts w:ascii="Segoe UI Symbol" w:hAnsi="Segoe UI Symbol" w:cs="Segoe UI Symbol"/>
              </w:rPr>
              <w:t>✕</w:t>
            </w:r>
          </w:p>
        </w:tc>
        <w:tc>
          <w:tcPr>
            <w:tcW w:w="1485" w:type="dxa"/>
            <w:vAlign w:val="center"/>
            <w:hideMark/>
          </w:tcPr>
          <w:p w14:paraId="1A4D0AAC" w14:textId="77777777" w:rsidR="00EF2FCC" w:rsidRPr="00EF2FCC" w:rsidRDefault="00EF2FCC" w:rsidP="00EF2FCC">
            <w:r w:rsidRPr="00EF2FCC">
              <w:rPr>
                <w:rFonts w:ascii="Segoe UI Symbol" w:hAnsi="Segoe UI Symbol" w:cs="Segoe UI Symbol"/>
              </w:rPr>
              <w:t>✓</w:t>
            </w:r>
          </w:p>
        </w:tc>
      </w:tr>
      <w:tr w:rsidR="00EF2FCC" w:rsidRPr="00EF2FCC" w14:paraId="5BD923FC" w14:textId="77777777" w:rsidTr="00353AA1">
        <w:trPr>
          <w:tblCellSpacing w:w="15" w:type="dxa"/>
        </w:trPr>
        <w:tc>
          <w:tcPr>
            <w:tcW w:w="3465" w:type="dxa"/>
            <w:vAlign w:val="center"/>
            <w:hideMark/>
          </w:tcPr>
          <w:p w14:paraId="2FB4E7DA" w14:textId="77777777" w:rsidR="00EF2FCC" w:rsidRPr="00EF2FCC" w:rsidRDefault="00EF2FCC" w:rsidP="00EF2FCC">
            <w:r w:rsidRPr="00EF2FCC">
              <w:lastRenderedPageBreak/>
              <w:t>Healthcare support for eligible household members</w:t>
            </w:r>
          </w:p>
        </w:tc>
        <w:tc>
          <w:tcPr>
            <w:tcW w:w="1410" w:type="dxa"/>
            <w:vAlign w:val="center"/>
            <w:hideMark/>
          </w:tcPr>
          <w:p w14:paraId="4A2F6F36" w14:textId="579237DD" w:rsidR="00EF2FCC" w:rsidRPr="00EF2FCC" w:rsidRDefault="00353AA1" w:rsidP="00EF2FCC">
            <w:r>
              <w:t>Usually with</w:t>
            </w:r>
            <w:r w:rsidR="00EF2FCC" w:rsidRPr="00EF2FCC">
              <w:t xml:space="preserve"> additional cost</w:t>
            </w:r>
          </w:p>
        </w:tc>
        <w:tc>
          <w:tcPr>
            <w:tcW w:w="1140" w:type="dxa"/>
            <w:vAlign w:val="center"/>
            <w:hideMark/>
          </w:tcPr>
          <w:p w14:paraId="18CA3C5E" w14:textId="77777777" w:rsidR="00EF2FCC" w:rsidRPr="00EF2FCC" w:rsidRDefault="00EF2FCC" w:rsidP="00EF2FCC">
            <w:r w:rsidRPr="00EF2FCC">
              <w:t>Varies</w:t>
            </w:r>
          </w:p>
        </w:tc>
        <w:tc>
          <w:tcPr>
            <w:tcW w:w="1680" w:type="dxa"/>
            <w:vAlign w:val="center"/>
            <w:hideMark/>
          </w:tcPr>
          <w:p w14:paraId="217A9C25" w14:textId="77777777" w:rsidR="00EF2FCC" w:rsidRPr="00EF2FCC" w:rsidRDefault="00EF2FCC" w:rsidP="00EF2FCC">
            <w:r w:rsidRPr="00EF2FCC">
              <w:t>Varies</w:t>
            </w:r>
          </w:p>
        </w:tc>
        <w:tc>
          <w:tcPr>
            <w:tcW w:w="1485" w:type="dxa"/>
            <w:vAlign w:val="center"/>
            <w:hideMark/>
          </w:tcPr>
          <w:p w14:paraId="77C5018B" w14:textId="77777777" w:rsidR="00EF2FCC" w:rsidRPr="00EF2FCC" w:rsidRDefault="00EF2FCC" w:rsidP="00EF2FCC">
            <w:r w:rsidRPr="00EF2FCC">
              <w:rPr>
                <w:rFonts w:ascii="Segoe UI Symbol" w:hAnsi="Segoe UI Symbol" w:cs="Segoe UI Symbol"/>
              </w:rPr>
              <w:t>✓</w:t>
            </w:r>
          </w:p>
        </w:tc>
      </w:tr>
    </w:tbl>
    <w:p w14:paraId="1255B87A" w14:textId="77777777" w:rsidR="00353AA1" w:rsidRDefault="00353AA1" w:rsidP="00EF2FCC"/>
    <w:p w14:paraId="0C45076E" w14:textId="4E6EF910" w:rsidR="00EF2FCC" w:rsidRPr="00353AA1" w:rsidRDefault="00EF2FCC" w:rsidP="00EF2FCC">
      <w:proofErr w:type="spellStart"/>
      <w:r w:rsidRPr="00353AA1">
        <w:t>Ful.CashPay</w:t>
      </w:r>
      <w:proofErr w:type="spellEnd"/>
      <w:r w:rsidRPr="00353AA1">
        <w:t xml:space="preserve"> was designed for employees and families who often pay out of pocket for healthcare or struggle to access affordable care through traditional benefits. By combining physician-first care, healthcare access, healthcare navigation, healthcare savings, education, and expert support into one benefit, employees receive help throughout their healthcare journey—not just during a doctor's visit.</w:t>
      </w:r>
    </w:p>
    <w:p w14:paraId="4F3AB6FD" w14:textId="0B9EA4DF" w:rsidR="00EF2FCC" w:rsidRPr="00EF2FCC" w:rsidRDefault="00353AA1" w:rsidP="00EF2FCC">
      <w:r>
        <w:rPr>
          <w:i/>
          <w:iCs/>
        </w:rPr>
        <w:t>[</w:t>
      </w:r>
      <w:r w:rsidR="00EF2FCC" w:rsidRPr="00EF2FCC">
        <w:rPr>
          <w:i/>
          <w:iCs/>
        </w:rPr>
        <w:t xml:space="preserve">Includes physician-reviewed education, interactive learning, emergency room </w:t>
      </w:r>
      <w:r>
        <w:rPr>
          <w:i/>
          <w:iCs/>
        </w:rPr>
        <w:t>savings</w:t>
      </w:r>
      <w:r w:rsidR="00EF2FCC" w:rsidRPr="00EF2FCC">
        <w:rPr>
          <w:i/>
          <w:iCs/>
        </w:rPr>
        <w:t xml:space="preserve"> support, and more than 200 common care guides designed to help employees make more informed healthcare decisions and avoid unnecessary healthcare costs.</w:t>
      </w:r>
      <w:r>
        <w:rPr>
          <w:i/>
          <w:iCs/>
        </w:rPr>
        <w:t xml:space="preserve">] </w:t>
      </w:r>
      <w:r w:rsidRPr="00353AA1">
        <w:rPr>
          <w:i/>
          <w:iCs/>
          <w:highlight w:val="yellow"/>
        </w:rPr>
        <w:t>this goes if we are out of room!</w:t>
      </w:r>
    </w:p>
    <w:p w14:paraId="1A8AF250" w14:textId="77777777" w:rsidR="00EF2FCC" w:rsidRPr="00EF2FCC" w:rsidRDefault="00BC6D74" w:rsidP="00EF2FCC">
      <w:r>
        <w:pict w14:anchorId="3BDF622F">
          <v:rect id="_x0000_i1025" style="width:0;height:1.5pt" o:hralign="center" o:hrstd="t" o:hr="t" fillcolor="#a0a0a0" stroked="f"/>
        </w:pict>
      </w:r>
    </w:p>
    <w:sectPr w:rsidR="00EF2FCC" w:rsidRPr="00EF2FCC" w:rsidSect="00353A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396"/>
    <w:multiLevelType w:val="multilevel"/>
    <w:tmpl w:val="EED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1581A"/>
    <w:multiLevelType w:val="multilevel"/>
    <w:tmpl w:val="590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377D2"/>
    <w:multiLevelType w:val="multilevel"/>
    <w:tmpl w:val="1368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68416">
    <w:abstractNumId w:val="1"/>
  </w:num>
  <w:num w:numId="2" w16cid:durableId="1245870925">
    <w:abstractNumId w:val="2"/>
  </w:num>
  <w:num w:numId="3" w16cid:durableId="141959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CC"/>
    <w:rsid w:val="00353AA1"/>
    <w:rsid w:val="006E6BBA"/>
    <w:rsid w:val="00BD2EA9"/>
    <w:rsid w:val="00EF2FCC"/>
    <w:rsid w:val="00F2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9724"/>
  <w15:chartTrackingRefBased/>
  <w15:docId w15:val="{C5DF6FBE-58B6-4989-AFBE-B823804B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2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2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2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2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CC"/>
    <w:rPr>
      <w:rFonts w:eastAsiaTheme="majorEastAsia" w:cstheme="majorBidi"/>
      <w:color w:val="272727" w:themeColor="text1" w:themeTint="D8"/>
    </w:rPr>
  </w:style>
  <w:style w:type="paragraph" w:styleId="Title">
    <w:name w:val="Title"/>
    <w:basedOn w:val="Normal"/>
    <w:next w:val="Normal"/>
    <w:link w:val="TitleChar"/>
    <w:uiPriority w:val="10"/>
    <w:qFormat/>
    <w:rsid w:val="00EF2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CC"/>
    <w:pPr>
      <w:spacing w:before="160"/>
      <w:jc w:val="center"/>
    </w:pPr>
    <w:rPr>
      <w:i/>
      <w:iCs/>
      <w:color w:val="404040" w:themeColor="text1" w:themeTint="BF"/>
    </w:rPr>
  </w:style>
  <w:style w:type="character" w:customStyle="1" w:styleId="QuoteChar">
    <w:name w:val="Quote Char"/>
    <w:basedOn w:val="DefaultParagraphFont"/>
    <w:link w:val="Quote"/>
    <w:uiPriority w:val="29"/>
    <w:rsid w:val="00EF2FCC"/>
    <w:rPr>
      <w:i/>
      <w:iCs/>
      <w:color w:val="404040" w:themeColor="text1" w:themeTint="BF"/>
    </w:rPr>
  </w:style>
  <w:style w:type="paragraph" w:styleId="ListParagraph">
    <w:name w:val="List Paragraph"/>
    <w:basedOn w:val="Normal"/>
    <w:uiPriority w:val="34"/>
    <w:qFormat/>
    <w:rsid w:val="00EF2FCC"/>
    <w:pPr>
      <w:ind w:left="720"/>
      <w:contextualSpacing/>
    </w:pPr>
  </w:style>
  <w:style w:type="character" w:styleId="IntenseEmphasis">
    <w:name w:val="Intense Emphasis"/>
    <w:basedOn w:val="DefaultParagraphFont"/>
    <w:uiPriority w:val="21"/>
    <w:qFormat/>
    <w:rsid w:val="00EF2FCC"/>
    <w:rPr>
      <w:i/>
      <w:iCs/>
      <w:color w:val="2F5496" w:themeColor="accent1" w:themeShade="BF"/>
    </w:rPr>
  </w:style>
  <w:style w:type="paragraph" w:styleId="IntenseQuote">
    <w:name w:val="Intense Quote"/>
    <w:basedOn w:val="Normal"/>
    <w:next w:val="Normal"/>
    <w:link w:val="IntenseQuoteChar"/>
    <w:uiPriority w:val="30"/>
    <w:qFormat/>
    <w:rsid w:val="00EF2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FCC"/>
    <w:rPr>
      <w:i/>
      <w:iCs/>
      <w:color w:val="2F5496" w:themeColor="accent1" w:themeShade="BF"/>
    </w:rPr>
  </w:style>
  <w:style w:type="character" w:styleId="IntenseReference">
    <w:name w:val="Intense Reference"/>
    <w:basedOn w:val="DefaultParagraphFont"/>
    <w:uiPriority w:val="32"/>
    <w:qFormat/>
    <w:rsid w:val="00EF2FCC"/>
    <w:rPr>
      <w:b/>
      <w:bCs/>
      <w:smallCaps/>
      <w:color w:val="2F5496" w:themeColor="accent1" w:themeShade="BF"/>
      <w:spacing w:val="5"/>
    </w:rPr>
  </w:style>
  <w:style w:type="table" w:styleId="TableGrid">
    <w:name w:val="Table Grid"/>
    <w:basedOn w:val="TableNormal"/>
    <w:uiPriority w:val="39"/>
    <w:rsid w:val="00353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4</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Tedore</dc:creator>
  <cp:keywords/>
  <dc:description/>
  <cp:lastModifiedBy>Carrie Tedore</cp:lastModifiedBy>
  <cp:revision>2</cp:revision>
  <dcterms:created xsi:type="dcterms:W3CDTF">2026-07-21T17:29:00Z</dcterms:created>
  <dcterms:modified xsi:type="dcterms:W3CDTF">2026-07-21T17:29:00Z</dcterms:modified>
</cp:coreProperties>
</file>